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4D" w:rsidRPr="000A0E1C" w:rsidRDefault="000A0E1C" w:rsidP="000A0E1C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A0E1C">
        <w:rPr>
          <w:rFonts w:ascii="標楷體" w:eastAsia="標楷體" w:hAnsi="標楷體"/>
          <w:sz w:val="28"/>
          <w:szCs w:val="28"/>
        </w:rPr>
        <w:t>根據《三國志</w:t>
      </w:r>
      <w:r w:rsidRPr="000A0E1C">
        <w:rPr>
          <w:rFonts w:ascii="標楷體" w:eastAsia="標楷體" w:hAnsi="標楷體" w:cs="微軟正黑體" w:hint="eastAsia"/>
          <w:sz w:val="28"/>
          <w:szCs w:val="28"/>
        </w:rPr>
        <w:t>‧</w:t>
      </w:r>
      <w:r w:rsidRPr="000A0E1C">
        <w:rPr>
          <w:rFonts w:ascii="標楷體" w:eastAsia="標楷體" w:hAnsi="標楷體"/>
          <w:sz w:val="28"/>
          <w:szCs w:val="28"/>
        </w:rPr>
        <w:t>諸葛亮傳》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裴注引</w:t>
      </w:r>
      <w:proofErr w:type="gramEnd"/>
      <w:r w:rsidRPr="000A0E1C">
        <w:rPr>
          <w:rFonts w:ascii="標楷體" w:eastAsia="標楷體" w:hAnsi="標楷體"/>
          <w:color w:val="333333"/>
          <w:sz w:val="28"/>
          <w:szCs w:val="28"/>
        </w:rPr>
        <w:t>《</w:t>
      </w:r>
      <w:r w:rsidRPr="000A0E1C">
        <w:rPr>
          <w:rFonts w:ascii="標楷體" w:eastAsia="標楷體" w:hAnsi="標楷體"/>
          <w:sz w:val="28"/>
          <w:szCs w:val="28"/>
        </w:rPr>
        <w:t>魏氏春秋》曰：「木牛者，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方腹曲頭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，一腳四足，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頭入領中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舌著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於腹。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載多而行少，宜可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大用，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不可小使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；特行者數十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裏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，群行者二十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裏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也。曲者為牛頭，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雙者為牛腳，橫者為牛領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，轉者為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牛足，覆者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為牛背，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方者為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牛腹，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垂者為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牛舌，曲者為牛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肋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刻者為牛齒，立者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為牛角，細者為牛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鞅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攝者為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牛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鞦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軸。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牛仰雙轅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，人行六尺，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牛行四步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。載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一歲糧，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日行二十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裏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，而人不大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勞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。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流馬尺寸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之數，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肋長三尺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五寸，廣三寸，厚二寸二分，左右同。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前軸孔分墨去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頭四寸，徑中二寸。前腳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孔分墨二寸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去前軸孔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四寸五分，廣一寸。前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杠孔去前腳孔分墨二寸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七分，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孔長二寸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，廣一寸。後軸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孔去前杠分墨一尺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五分，大小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與前同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。後腳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孔分墨去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後軸孔三寸五分，大小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與前同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。後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杠孔去後腳孔分墨二寸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七分，後載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剋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去後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杠孔分墨四寸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五分。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前杠長一尺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八寸，廣二寸，厚一寸五分。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後杠與等版方囊二枚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，厚八分，長二尺七寸，高一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尺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六寸五分，廣一尺六寸，每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枚受米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二斛三鬥。從上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杠孔去肋下七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寸，前後同。上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杠孔去下杠孔分墨一尺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三寸，孔長一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寸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五分，廣七分，八孔同。前後四腳，廣二寸，厚一寸五分。形制如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象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靬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長四寸，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徑面四寸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三分。孔徑中三腳杠，長二尺一寸，廣一寸五分，厚一寸四分，同</w:t>
      </w:r>
      <w:proofErr w:type="gramStart"/>
      <w:r w:rsidRPr="000A0E1C">
        <w:rPr>
          <w:rFonts w:ascii="標楷體" w:eastAsia="標楷體" w:hAnsi="標楷體"/>
          <w:sz w:val="28"/>
          <w:szCs w:val="28"/>
        </w:rPr>
        <w:t>杠耳。</w:t>
      </w:r>
      <w:proofErr w:type="gramEnd"/>
      <w:r w:rsidRPr="000A0E1C">
        <w:rPr>
          <w:rFonts w:ascii="標楷體" w:eastAsia="標楷體" w:hAnsi="標楷體"/>
          <w:sz w:val="28"/>
          <w:szCs w:val="28"/>
        </w:rPr>
        <w:t>」</w:t>
      </w:r>
    </w:p>
    <w:sectPr w:rsidR="00C3744D" w:rsidRPr="000A0E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1C"/>
    <w:rsid w:val="000A0E1C"/>
    <w:rsid w:val="00C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0E3A"/>
  <w15:chartTrackingRefBased/>
  <w15:docId w15:val="{468B516A-2277-43DE-BE53-05A7FBE7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2015-11-23T16:05:00Z</dcterms:created>
  <dcterms:modified xsi:type="dcterms:W3CDTF">2015-11-23T16:07:00Z</dcterms:modified>
</cp:coreProperties>
</file>